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460" w:lineRule="exact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附件3：</w:t>
      </w:r>
    </w:p>
    <w:p>
      <w:pPr>
        <w:spacing w:before="120" w:beforeLines="50" w:after="120" w:afterLines="50" w:line="460" w:lineRule="exact"/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技术、质量及服务要求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一、总则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合同设备必须是全新的、先进性、可靠性良好的合格产品，完全符合供应商提供的技术规格书上的各项技术条件。</w:t>
      </w:r>
    </w:p>
    <w:p>
      <w:pPr>
        <w:spacing w:before="120" w:beforeLines="50"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二、要求提供以下项目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1.合同设备标准配置、选件清单及报价。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2.备品备件清单。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3.两年内合同设备易损件、耗材清单及报价。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4.合同设备采购供货周期。</w:t>
      </w:r>
    </w:p>
    <w:p>
      <w:pPr>
        <w:spacing w:before="120" w:beforeLines="50"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三、技术要求</w:t>
      </w:r>
      <w:bookmarkStart w:id="0" w:name="_Hlk120006624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4"/>
        </w:rPr>
        <w:t>设备清单如下</w:t>
      </w:r>
      <w:r>
        <w:rPr>
          <w:rFonts w:hint="eastAsia" w:ascii="宋体" w:hAnsi="宋体" w:eastAsia="宋体" w:cs="宋体"/>
          <w:sz w:val="24"/>
          <w:szCs w:val="20"/>
        </w:rPr>
        <w:t>：</w:t>
      </w:r>
    </w:p>
    <w:tbl>
      <w:tblPr>
        <w:tblStyle w:val="3"/>
        <w:tblW w:w="93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880"/>
        <w:gridCol w:w="2216"/>
        <w:gridCol w:w="973"/>
        <w:gridCol w:w="3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品牌型号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烙铁综合测试仪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QUICK-192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每套配置2台离子风机，共10台，测试仪需CANS证书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非接触式静电压测试仪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FMX-004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CANS证书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防静电测试仪（重锤电阻测试仪）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DESCO19290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配备50003两个，50005一个，人体行走握柄一个，CANS证书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孤立导体测试仪（接触式静电压测试仪）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CVM-780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CANS证书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真空密封机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青叶PW420A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电子数料机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都格IH882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附带打印机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推拉雨棚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斯特杨8*5*5,两面围布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附带搬运车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手持式喷码机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谊和CH4000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附带墨盒一个</w:t>
            </w:r>
          </w:p>
        </w:tc>
      </w:tr>
      <w:bookmarkEnd w:id="0"/>
    </w:tbl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1" w:name="_Hlk120002059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1. 烙铁综合测试仪要求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*1 设备为快客QUICK公司生产的QUICK-192型烙铁综合测试仪5台，配套离子风机10台；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 设备应运行稳定，安全可靠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 设备应在温度18℃～30℃，相对湿度30%～70%环境下运行良好；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 设备应符合ESD静电防护标准；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 设备</w:t>
      </w:r>
      <w:r>
        <w:rPr>
          <w:rFonts w:hint="eastAsia" w:ascii="宋体" w:hAnsi="宋体" w:eastAsia="宋体" w:cs="宋体"/>
          <w:sz w:val="24"/>
          <w:szCs w:val="24"/>
        </w:rPr>
        <w:t>应支持烙铁温度、尖端对地电阻、尖端电压测试，并可进行实时数据输出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烙铁温度测试范围0℃～600 ℃，分辨率1℃，精度±3℃；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尖端对地电阻测试范围0~90Ω，分辨率0.1Ω，精度±1%；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尖端电压测试范围0~90mv(AC)，分辨率0.1mv，精度±3%；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*6 设备供应商应针对烙铁测试仪提供具有CNAS资质的第三方校准证书，计量应覆盖的量程、精度要求与技术要求第5条一致。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7 离子风机</w:t>
      </w:r>
      <w:r>
        <w:rPr>
          <w:rFonts w:hint="eastAsia" w:ascii="宋体" w:hAnsi="宋体" w:eastAsia="宋体" w:cs="宋体"/>
          <w:sz w:val="24"/>
          <w:szCs w:val="24"/>
        </w:rPr>
        <w:t>静电消散速度从+/-1000V中和到+/-100V应小于10秒,残留电压＜+/-35V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，有效区域90cm，带自清洁功能，自动调整平衡电压</w:t>
      </w:r>
      <w:r>
        <w:rPr>
          <w:rFonts w:hint="eastAsia" w:ascii="宋体" w:hAnsi="宋体" w:eastAsia="宋体" w:cs="宋体"/>
          <w:sz w:val="24"/>
          <w:szCs w:val="24"/>
        </w:rPr>
        <w:t>+/-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10V 以内。 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GB"/>
        </w:rPr>
        <w:t>2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.非接触式</w:t>
      </w:r>
      <w:r>
        <w:rPr>
          <w:rFonts w:hint="eastAsia" w:ascii="宋体" w:hAnsi="宋体" w:eastAsia="宋体" w:cs="宋体"/>
          <w:b/>
          <w:sz w:val="24"/>
          <w:szCs w:val="24"/>
          <w:lang w:val="en-GB"/>
        </w:rPr>
        <w:t>静电压测试仪要求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*1 设备为日本SIMCO公司生产的FMX-004型非接触式静电压测试仪2台；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 设备应运行稳定，安全可靠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 设备应在温度18℃～30℃，相对湿度30%～70%环境下运行良好；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 设备应符合ESD静电防护标准；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 设备</w:t>
      </w:r>
      <w:r>
        <w:rPr>
          <w:rFonts w:hint="eastAsia" w:ascii="宋体" w:hAnsi="宋体" w:eastAsia="宋体" w:cs="宋体"/>
          <w:sz w:val="24"/>
          <w:szCs w:val="24"/>
        </w:rPr>
        <w:t>应支持探针距离测试表面5mm-25mm非接触测量表面静电电压，并可进行实时数据输出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*6 设备供应商应提供具有CNAS资质的第三方校准证书，计量应覆盖的量程要求为35v，5000v，精度要求为5%。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GB"/>
        </w:rPr>
      </w:pPr>
      <w:r>
        <w:rPr>
          <w:rFonts w:hint="eastAsia" w:ascii="宋体" w:hAnsi="宋体" w:eastAsia="宋体" w:cs="宋体"/>
          <w:b/>
          <w:sz w:val="24"/>
          <w:szCs w:val="24"/>
          <w:lang w:val="en-GB"/>
        </w:rPr>
        <w:t>3.</w:t>
      </w:r>
      <w:r>
        <w:rPr>
          <w:rFonts w:hint="eastAsia" w:ascii="宋体" w:hAnsi="宋体" w:eastAsia="宋体" w:cs="宋体"/>
          <w:szCs w:val="20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GB"/>
        </w:rPr>
        <w:t>防静电测试仪（重锤电阻测试仪）要求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*1 设备为美国DESCO公司生产的19290型防静电测试仪（重锤电阻测试仪）2台；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 设备应运行稳定，安全可靠</w:t>
      </w:r>
      <w:r>
        <w:rPr>
          <w:rFonts w:hint="eastAsia" w:ascii="宋体" w:hAnsi="宋体" w:eastAsia="宋体" w:cs="宋体"/>
          <w:sz w:val="24"/>
          <w:szCs w:val="24"/>
        </w:rPr>
        <w:t xml:space="preserve">；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 设备应在温度18℃～30℃，相对湿度30%～70%环境下运行良好；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 设备应符合ANSI/ESD S4.1/7.1静电防护标准；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 设备应配备2个5磅50003重锤、1个50005同心圆电极和1个人体行走电压握柄；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*6 设备应支持表面电阻和接地电阻测试，并可进行实时数据输出；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*7 设备供应商应提供具有CNAS资质的第三方校准证书，计量应覆盖的量程要求为10^3—10^12Ω，校准精度要求±5%。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GB"/>
        </w:rPr>
      </w:pPr>
      <w:r>
        <w:rPr>
          <w:rFonts w:hint="eastAsia" w:ascii="宋体" w:hAnsi="宋体" w:eastAsia="宋体" w:cs="宋体"/>
          <w:b/>
          <w:sz w:val="24"/>
          <w:szCs w:val="24"/>
          <w:lang w:val="en-GB"/>
        </w:rPr>
        <w:t>4.</w:t>
      </w:r>
      <w:r>
        <w:rPr>
          <w:rFonts w:hint="eastAsia" w:ascii="宋体" w:hAnsi="宋体" w:eastAsia="宋体" w:cs="宋体"/>
          <w:szCs w:val="20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GB"/>
        </w:rPr>
        <w:t>孤立导体测试仪（接触式静电压测试仪）要求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*1 设备为美国PROSTAT公司生产的CVM-780型孤立导体测试仪（接触式静电压测试仪）1台；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 设备应运行稳定，安全可靠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 设备应在温度18℃～30℃，相对湿度30%～70%环境下运行良好；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 设备应符合ESD静电防护标准；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 设备</w:t>
      </w:r>
      <w:r>
        <w:rPr>
          <w:rFonts w:hint="eastAsia" w:ascii="宋体" w:hAnsi="宋体" w:eastAsia="宋体" w:cs="宋体"/>
          <w:sz w:val="24"/>
          <w:szCs w:val="24"/>
        </w:rPr>
        <w:t>应支持测量制造过程中导体上的电压，并可进行实时数据输出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*6 设备供应商应提供具有CNAS资质的第三方校准证书，计量应覆盖的量程要求为±525V，精度要求为5%。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GB"/>
        </w:rPr>
      </w:pPr>
      <w:r>
        <w:rPr>
          <w:rFonts w:hint="eastAsia" w:ascii="宋体" w:hAnsi="宋体" w:eastAsia="宋体" w:cs="宋体"/>
          <w:b/>
          <w:sz w:val="24"/>
          <w:szCs w:val="24"/>
          <w:lang w:val="en-GB"/>
        </w:rPr>
        <w:t xml:space="preserve">5.仓储设备要求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*1 应包含如下设备；</w:t>
      </w:r>
    </w:p>
    <w:tbl>
      <w:tblPr>
        <w:tblStyle w:val="3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114"/>
        <w:gridCol w:w="1926"/>
        <w:gridCol w:w="960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92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真空密封机</w:t>
            </w:r>
          </w:p>
        </w:tc>
        <w:tc>
          <w:tcPr>
            <w:tcW w:w="192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青叶PW420A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电子数料机</w:t>
            </w:r>
          </w:p>
        </w:tc>
        <w:tc>
          <w:tcPr>
            <w:tcW w:w="192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都格IH882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附带打印机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推拉雨棚</w:t>
            </w:r>
          </w:p>
        </w:tc>
        <w:tc>
          <w:tcPr>
            <w:tcW w:w="192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斯特杨8*5*5,两面围布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附带搬运车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手持式喷码机</w:t>
            </w:r>
          </w:p>
        </w:tc>
        <w:tc>
          <w:tcPr>
            <w:tcW w:w="192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谊和CH4000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附带墨盒一个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 设备应运行稳定，安全可靠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 设备应在温度18℃～30℃，相对湿度30%～70%环境下运行良好；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 青叶PW420A真空密封机、都格IH882电子数料机应符合ANSI/ESD S4.1/7.1静电防护标准；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 设备品牌型号尺寸应与上表一致，且必须是全新的、可靠性良好的合格产品。</w:t>
      </w:r>
    </w:p>
    <w:bookmarkEnd w:id="1"/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注：标 “*”为关键一票否决项，“#”为重要项，其余项为一般项。</w:t>
      </w:r>
    </w:p>
    <w:p>
      <w:pPr>
        <w:spacing w:before="120" w:beforeLines="50"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四、技术资料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1.供应商应随合同设备提供完整技术资料原件一套（含设备操作规程），技术资料应来源于设备制造厂商。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2.合同设备的技术资料应当完整、正确、清晰，使用标准的简体中文编写。</w:t>
      </w:r>
    </w:p>
    <w:p>
      <w:pPr>
        <w:spacing w:line="50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3.供应商提供的技术资料中应包括设备上使用的耗材和易损件的清单，及采购价格。</w:t>
      </w:r>
    </w:p>
    <w:p>
      <w:pPr>
        <w:spacing w:before="120" w:beforeLines="50"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五、合同设备的交货检验及安装调试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1.合同设备价格为到北京铁路信号有限公司价格，合同设备到达采购人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指定地点</w:t>
      </w:r>
      <w:r>
        <w:rPr>
          <w:rFonts w:hint="eastAsia" w:ascii="宋体" w:hAnsi="宋体" w:eastAsia="宋体" w:cs="宋体"/>
          <w:sz w:val="24"/>
          <w:szCs w:val="24"/>
        </w:rPr>
        <w:t>后，供应商在接到采购人书面通知后一周内派出有关人员到采购人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指定地点</w:t>
      </w:r>
      <w:r>
        <w:rPr>
          <w:rFonts w:hint="eastAsia" w:ascii="宋体" w:hAnsi="宋体" w:eastAsia="宋体" w:cs="宋体"/>
          <w:sz w:val="24"/>
          <w:szCs w:val="24"/>
        </w:rPr>
        <w:t>进行检验，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清点由双方共同进行，对所到设备进行检验清点，并在开箱报告上签字。如果发现到设备与合同要求不符，或合同设备有损坏，均由供应商在一周内负责解决，由此发生的一切费用由供应商承担，如无问题，双方在开箱报告上签字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供应商负责设备的卸车、就位和安装调试工作，采购人协助。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.设备到达采购人现场前一周，供应商提供设备安装图和安装要求。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.设备的安装调试应在交货检验后7天内完成。</w:t>
      </w:r>
    </w:p>
    <w:p>
      <w:pPr>
        <w:spacing w:before="120" w:beforeLines="50"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六、合同设备的验收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1.合同设备安装调试完成后，双方共同进行全部合同设备验收。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2.验收的条件及方法：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2.1验收条件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按双方签订的技术协议条款进行验收，不能现场验收的项目，供应商应提供相应的检测报告。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2.2验收方法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设备供应商应提供具有CNAS资质的第三方校准证书，计量应覆盖的量程要求为±525V，精度要求为5%。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.合同设备安装调试及验收合同后，双方签订验收合格证书。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bookmarkStart w:id="2" w:name="_GoBack"/>
      <w:bookmarkEnd w:id="2"/>
      <w:r>
        <w:rPr>
          <w:rFonts w:hint="eastAsia" w:ascii="宋体" w:hAnsi="宋体" w:eastAsia="宋体" w:cs="宋体"/>
          <w:color w:val="000000"/>
          <w:sz w:val="24"/>
          <w:szCs w:val="24"/>
        </w:rPr>
        <w:t>.合同设备的验收应在安装调试后7天内完成。</w:t>
      </w:r>
    </w:p>
    <w:p>
      <w:pPr>
        <w:spacing w:before="120" w:beforeLines="50"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七、合同设备的保修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合同设备从双方签署验收合格书之日起，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质保期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至少12个月。在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质保期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内若设备发生故障，由供应商免费负责维修，受损部件由供应商免费更换。（人为错误而导致损坏和消耗部件除外）。</w:t>
      </w:r>
    </w:p>
    <w:p>
      <w:pPr>
        <w:spacing w:before="120" w:beforeLines="50"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八、服务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1.设备发生故障，供应商在接到采购人的通知后，应在4小时内予以响应，在24小时内派维修人员到达客户现场解决。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2.供应商提供设备的终身服务，并提供保修期外收费标准。</w:t>
      </w:r>
    </w:p>
    <w:p>
      <w:pPr>
        <w:spacing w:before="120" w:beforeLines="50"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九、人员的培训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供应商工程技术人员在安装调试设备完成以后，应向采购人有关人员进行操作使用、维护保养等免费技术培训,并提供培训资料3份。</w:t>
      </w:r>
    </w:p>
    <w:p>
      <w:pPr>
        <w:spacing w:line="360" w:lineRule="auto"/>
        <w:ind w:left="360"/>
        <w:rPr>
          <w:rFonts w:hint="eastAsia" w:ascii="宋体" w:hAnsi="宋体" w:eastAsia="宋体" w:cs="Times New Roman"/>
          <w:bCs/>
          <w:sz w:val="24"/>
          <w:szCs w:val="24"/>
        </w:rPr>
      </w:pPr>
    </w:p>
    <w:p/>
    <w:sectPr>
      <w:headerReference r:id="rId3" w:type="default"/>
      <w:pgSz w:w="11906" w:h="16838"/>
      <w:pgMar w:top="1418" w:right="1021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both"/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Tg2OTQ1MTU4YjRlNTk1ZGMwZmVjOTY3OGYyMDkifQ=="/>
  </w:docVars>
  <w:rsids>
    <w:rsidRoot w:val="00000000"/>
    <w:rsid w:val="002F66FE"/>
    <w:rsid w:val="06C13B3D"/>
    <w:rsid w:val="0B614961"/>
    <w:rsid w:val="160F0209"/>
    <w:rsid w:val="2A8C6DB5"/>
    <w:rsid w:val="63416F20"/>
    <w:rsid w:val="6711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2023-08-25T08:05:00Z</dcterms:created>
  <dc:creator>Lenovo</dc:creator>
  <cp:lastModifiedBy>测试</cp:lastModifiedBy>
  <cp:lastPrinted>2023-10-18T05:23:45Z</cp:lastPrinted>
  <dcterms:modified xsi:type="dcterms:W3CDTF">2023-10-18T05:25:04Z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F27988E89A0F40EF8018F006FD600B1E_12</vt:lpwstr>
  </property>
</Properties>
</file>